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22224" w14:textId="77777777" w:rsidR="00ED1F16" w:rsidRPr="00ED1F16" w:rsidRDefault="00ED1F16" w:rsidP="00ED1F16">
      <w:pPr>
        <w:spacing w:line="580" w:lineRule="exact"/>
        <w:rPr>
          <w:rFonts w:ascii="黑体" w:eastAsia="黑体" w:hAnsi="黑体"/>
          <w:bCs/>
          <w:sz w:val="32"/>
          <w:szCs w:val="32"/>
        </w:rPr>
      </w:pPr>
      <w:r w:rsidRPr="00ED1F16">
        <w:rPr>
          <w:rFonts w:ascii="黑体" w:eastAsia="黑体" w:hAnsi="黑体" w:hint="eastAsia"/>
          <w:bCs/>
          <w:sz w:val="32"/>
          <w:szCs w:val="32"/>
        </w:rPr>
        <w:t>附件</w:t>
      </w:r>
      <w:r w:rsidRPr="00ED1F16">
        <w:rPr>
          <w:rFonts w:ascii="黑体" w:eastAsia="黑体" w:hAnsi="黑体"/>
          <w:bCs/>
          <w:sz w:val="32"/>
          <w:szCs w:val="32"/>
        </w:rPr>
        <w:t>2</w:t>
      </w:r>
    </w:p>
    <w:p w14:paraId="2FD4A462" w14:textId="77777777" w:rsidR="00ED1F16" w:rsidRDefault="00ED1F16" w:rsidP="00ED1F16">
      <w:pPr>
        <w:spacing w:line="580" w:lineRule="exact"/>
        <w:rPr>
          <w:rFonts w:ascii="Calibri" w:eastAsia="仿宋_GB2312" w:hAnsi="Calibri"/>
          <w:bCs/>
          <w:sz w:val="32"/>
          <w:szCs w:val="32"/>
        </w:rPr>
      </w:pPr>
    </w:p>
    <w:p w14:paraId="0BB30D42" w14:textId="77777777" w:rsidR="00ED1F16" w:rsidRDefault="00ED1F16" w:rsidP="00ED1F16">
      <w:pPr>
        <w:jc w:val="center"/>
        <w:rPr>
          <w:rFonts w:ascii="Calibri" w:hAnsi="Calibri"/>
          <w:b/>
          <w:kern w:val="0"/>
          <w:sz w:val="44"/>
          <w:szCs w:val="44"/>
        </w:rPr>
      </w:pPr>
      <w:r>
        <w:rPr>
          <w:rFonts w:ascii="Calibri" w:hAnsi="Calibri" w:hint="eastAsia"/>
          <w:b/>
          <w:kern w:val="0"/>
          <w:sz w:val="44"/>
          <w:szCs w:val="44"/>
        </w:rPr>
        <w:t>《大连商品交易所交易管理办法》修订稿</w:t>
      </w:r>
    </w:p>
    <w:p w14:paraId="6F1065A8" w14:textId="77777777" w:rsidR="00ED1F16" w:rsidRDefault="00ED1F16" w:rsidP="00ED1F16">
      <w:pPr>
        <w:jc w:val="center"/>
        <w:rPr>
          <w:rFonts w:ascii="仿宋_GB2312" w:eastAsia="仿宋_GB2312" w:hAnsi="Calibri"/>
          <w:sz w:val="30"/>
          <w:szCs w:val="30"/>
        </w:rPr>
      </w:pPr>
    </w:p>
    <w:p w14:paraId="6318BF36" w14:textId="77777777" w:rsidR="00ED1F16" w:rsidRDefault="00ED1F16" w:rsidP="00ED1F16">
      <w:pPr>
        <w:widowControl/>
        <w:adjustRightInd w:val="0"/>
        <w:snapToGrid w:val="0"/>
        <w:spacing w:line="360" w:lineRule="auto"/>
        <w:jc w:val="center"/>
        <w:rPr>
          <w:rFonts w:ascii="仿宋_GB2312" w:eastAsia="仿宋_GB2312" w:hAnsi="Calibri" w:hint="eastAsia"/>
          <w:sz w:val="32"/>
          <w:szCs w:val="32"/>
        </w:rPr>
      </w:pPr>
      <w:r>
        <w:rPr>
          <w:rFonts w:ascii="仿宋_GB2312" w:eastAsia="仿宋_GB2312" w:hAnsi="Calibri" w:hint="eastAsia"/>
          <w:sz w:val="32"/>
          <w:szCs w:val="32"/>
        </w:rPr>
        <w:t>第一章 总则</w:t>
      </w:r>
    </w:p>
    <w:p w14:paraId="476C6B16"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第一条 为了规范期货交易行为，保护期货交易各方的合法权益，保障大连商品交易所（以下简称交易所）期货交易的顺利进行，根据《大连商品交易所交易规则》，制定本办法。</w:t>
      </w:r>
    </w:p>
    <w:p w14:paraId="2554F71F"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第二条 交易所、会员、境外经纪机构、客户应当遵守本办法。</w:t>
      </w:r>
    </w:p>
    <w:p w14:paraId="479928B8" w14:textId="77777777" w:rsidR="00ED1F16" w:rsidRDefault="00ED1F16" w:rsidP="00ED1F16">
      <w:pPr>
        <w:widowControl/>
        <w:adjustRightInd w:val="0"/>
        <w:snapToGrid w:val="0"/>
        <w:spacing w:line="360" w:lineRule="auto"/>
        <w:jc w:val="center"/>
        <w:rPr>
          <w:rFonts w:ascii="仿宋_GB2312" w:eastAsia="仿宋_GB2312" w:hAnsi="Calibri" w:hint="eastAsia"/>
          <w:sz w:val="32"/>
          <w:szCs w:val="32"/>
        </w:rPr>
      </w:pPr>
      <w:r>
        <w:rPr>
          <w:rFonts w:ascii="仿宋_GB2312" w:eastAsia="仿宋_GB2312" w:hAnsi="Calibri" w:hint="eastAsia"/>
          <w:sz w:val="32"/>
          <w:szCs w:val="32"/>
        </w:rPr>
        <w:t>第二章 席位管理</w:t>
      </w:r>
    </w:p>
    <w:p w14:paraId="59BBE71F"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第三条 交易席位是会员将交易指令输入交易所计算机交易系统参与交易的通道。</w:t>
      </w:r>
    </w:p>
    <w:p w14:paraId="189E66A8"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交易席位分为场内交易席位和远程交易席位。远程交易是指会员在其营业场所，通过与交易所计算机交易系统联网的通信系统直接输入交易指令、参与交易所交易的一种交易方式。</w:t>
      </w:r>
    </w:p>
    <w:p w14:paraId="0FD4FF12"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第四条 会员在取得会员资格后，即取得一个场内交易席位。经交易所批准，可以增加交易席位。</w:t>
      </w:r>
    </w:p>
    <w:p w14:paraId="794A0650"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会员增加交易席位应当向交易所缴纳席位使用费，具体标准由交易所制定并公布。</w:t>
      </w:r>
    </w:p>
    <w:p w14:paraId="27E134C8"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lastRenderedPageBreak/>
        <w:t xml:space="preserve">　　第五条 会员增加交易席位仅是增加该会员的交易通道，交易所对会员的持仓限额、风险控制及其他有关方面的管理规定不变。</w:t>
      </w:r>
    </w:p>
    <w:p w14:paraId="05B2B11B"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第六条 会员申请增加场内交易席位，应当具备以下条件：</w:t>
      </w:r>
    </w:p>
    <w:p w14:paraId="3341011F"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（一）经营状况良好；</w:t>
      </w:r>
    </w:p>
    <w:p w14:paraId="5FD4D176"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（二）自申请之日起前三个月成交量连续排名前50位，或者从事交易所期货交易的单量较多；</w:t>
      </w:r>
    </w:p>
    <w:p w14:paraId="0274757C"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（三）交易所要求应具备的其他条件。</w:t>
      </w:r>
    </w:p>
    <w:p w14:paraId="48CBD2D0"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第七条 会员申请增加场内交易席位, 应当通过会员服务系统与交易所签订协议，并向交易所提交增加交易席位申请，申请内容主要包括席位类型、接受回报范围等。</w:t>
      </w:r>
    </w:p>
    <w:p w14:paraId="4E635B51"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必要时，交易所可以要求会员提供其他资料。</w:t>
      </w:r>
    </w:p>
    <w:p w14:paraId="54B31687"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第八条 增加场内交易席位申请经交易所同意后，会员应当在10个交易日内到交易所办理有关入场手续。无故逾期的，交易所有权取消其申请增加的场内交易席位。</w:t>
      </w:r>
    </w:p>
    <w:p w14:paraId="75742CA8"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第九条 会员申请远程交易席位，应当具备下列条件：</w:t>
      </w:r>
    </w:p>
    <w:p w14:paraId="04E20D4A"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（一）经营状况良好；</w:t>
      </w:r>
    </w:p>
    <w:p w14:paraId="6F2484DB"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（二）申请经营机构所在地的通讯、资金划拨条件能满足交易所期货交易运作要求；</w:t>
      </w:r>
    </w:p>
    <w:p w14:paraId="6709AF81"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（三）有健全的远程交易管理制度；</w:t>
      </w:r>
    </w:p>
    <w:p w14:paraId="799EE211"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lastRenderedPageBreak/>
        <w:t xml:space="preserve">　　（四）远程交易系统的建设和管理应符合中国证监会和交易所相关技术管理规范的要求。</w:t>
      </w:r>
    </w:p>
    <w:p w14:paraId="5F53B031"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第十条 会员申请远程交易席位，应当通过会员服务系统与交易所签订协议，并向交易所提交下列材料：</w:t>
      </w:r>
    </w:p>
    <w:p w14:paraId="289B381F"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（一）增加交易席位申请，申请内容主要包括席位类型、接受回报范围、安装地址、营业执照号等；</w:t>
      </w:r>
    </w:p>
    <w:p w14:paraId="65C4BB73"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（二）申请经营机构营业执照复印件；</w:t>
      </w:r>
    </w:p>
    <w:p w14:paraId="475821D7"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（三）远程交易系统基础设施及人员情况表；</w:t>
      </w:r>
    </w:p>
    <w:p w14:paraId="1B1700A3"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（四）交易所要求提供的其他资料。</w:t>
      </w:r>
    </w:p>
    <w:p w14:paraId="5C802449"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第十一条 交易所应当自收到会员提交的远程交易席位申请材料之日起20个交易日内作出批复。</w:t>
      </w:r>
    </w:p>
    <w:p w14:paraId="3AFCF1C4"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第十二条 会员应当在收到交易所同意其进行远程交易的批复后10个交易日内，向交易所缴纳席位使用费。无故逾期的，交易所有权取消其申请的远程交易席位。</w:t>
      </w:r>
    </w:p>
    <w:p w14:paraId="14D3BF9A"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第十三条 会员提出远程交易系统开通申请后，由交易所通知会员具体开通日期。</w:t>
      </w:r>
    </w:p>
    <w:p w14:paraId="1A6A30CB"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第十四条 开通远程交易的会员，其场内交易席位继续保留，在交易时间内，会员远程交易席位不能正常使用时，会员应当通过场内交易席位进行交易。</w:t>
      </w:r>
    </w:p>
    <w:p w14:paraId="76DE97E9"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会员如不委派出市代表进场，远程交易席位不能正常使用时，后果自负。</w:t>
      </w:r>
    </w:p>
    <w:p w14:paraId="5476C060"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lastRenderedPageBreak/>
        <w:t xml:space="preserve">　　第十五条 会员应当加强对其远程交易的管理和远程交易系统的维护，并对交易所提供的软件接口和文档资料负有保密义务。主要设施需要更换或作技术调整时，应当事先征得交易所的同意。远程交易席位迁移出原登记备案地，应当事先报交易所审批。交易所有权对远程交易席位的使用情况进行监督检查。</w:t>
      </w:r>
    </w:p>
    <w:p w14:paraId="6ABF1118"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第十六条　有下列情况之一的，交易所可以取消会员增加的交易席位：</w:t>
      </w:r>
    </w:p>
    <w:p w14:paraId="3EFFA6FA"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（一）申请材料不真实的；</w:t>
      </w:r>
    </w:p>
    <w:p w14:paraId="70B595D1"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（二）将席位全部或者部分以出租或者承包等形式交由其他机构和个人使用的；</w:t>
      </w:r>
    </w:p>
    <w:p w14:paraId="01415A55"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（三）管理混乱或者有严重违规行为的；</w:t>
      </w:r>
    </w:p>
    <w:p w14:paraId="43331578"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（四）已不具备使用增加交易席位条件的；</w:t>
      </w:r>
    </w:p>
    <w:p w14:paraId="19CB64FA"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（五）利用增加交易席位从事交易以外的其他活动的；</w:t>
      </w:r>
    </w:p>
    <w:p w14:paraId="2AED9B98"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（六）会员申请取消的；</w:t>
      </w:r>
    </w:p>
    <w:p w14:paraId="7876E8B6"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（七）交易所认为应予取消的其他情况。</w:t>
      </w:r>
    </w:p>
    <w:p w14:paraId="04CA8DCD"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第十七条 会员终止使用或者被交易所取消增加交易席位的，使用费不予返还。</w:t>
      </w:r>
    </w:p>
    <w:p w14:paraId="69AE925D"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第十八条 如会员丧失交易所会员资格，则其拥有的交易席位全部终止使用。</w:t>
      </w:r>
    </w:p>
    <w:p w14:paraId="6931F005"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lastRenderedPageBreak/>
        <w:t xml:space="preserve">　　第十九条 由于计算机终端、通讯系统等交易设施发生故障，致使10%以上的会员不能交易时，交易所应暂停交易，直至故障消除为止。</w:t>
      </w:r>
    </w:p>
    <w:p w14:paraId="3BD1E1C8"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第二十条 交易所在夜盘交易小节不办理席位申请、变更和撤销业务。</w:t>
      </w:r>
    </w:p>
    <w:p w14:paraId="7DCF9A0F" w14:textId="77777777" w:rsidR="00ED1F16" w:rsidRDefault="00ED1F16" w:rsidP="00ED1F16">
      <w:pPr>
        <w:widowControl/>
        <w:adjustRightInd w:val="0"/>
        <w:snapToGrid w:val="0"/>
        <w:spacing w:line="360" w:lineRule="auto"/>
        <w:jc w:val="center"/>
        <w:rPr>
          <w:rFonts w:ascii="仿宋_GB2312" w:eastAsia="仿宋_GB2312" w:hAnsi="Calibri" w:hint="eastAsia"/>
          <w:sz w:val="32"/>
          <w:szCs w:val="32"/>
        </w:rPr>
      </w:pPr>
      <w:r>
        <w:rPr>
          <w:rFonts w:ascii="仿宋_GB2312" w:eastAsia="仿宋_GB2312" w:hAnsi="Calibri" w:hint="eastAsia"/>
          <w:sz w:val="32"/>
          <w:szCs w:val="32"/>
        </w:rPr>
        <w:t>第三章 出市代表管理</w:t>
      </w:r>
    </w:p>
    <w:p w14:paraId="20561A93"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第二十一条 出市代表是受会员委派并代表会员在交易大厅接受本会员的交易指令进行期货交易的人员，其在交易大厅与交易有关的行为由会员负责。</w:t>
      </w:r>
    </w:p>
    <w:p w14:paraId="22464D40"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第二十二条 办理出市代表证件应当通过会员服务系统录入交易所要求的身份证、期货从业资格证等相关信息。</w:t>
      </w:r>
    </w:p>
    <w:p w14:paraId="7E0E4D8A"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第二十三条 每个交易席位限两名出市代表进场，特殊情况应当经交易所批准。</w:t>
      </w:r>
    </w:p>
    <w:p w14:paraId="05C1974E"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第二十四条 出市代表可在每个交易日开市前30分钟内进入交易大厅做开市准备，收市后30分钟内离开交易大厅。出市代表不得随意出入交易大厅，特殊情况应当经场务管理人员批准。</w:t>
      </w:r>
    </w:p>
    <w:p w14:paraId="6ED63BAA"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交易期间出市代表不能空缺，因空缺出现的后果由会员负责。</w:t>
      </w:r>
    </w:p>
    <w:p w14:paraId="2BBBC8AB"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第二十五条 出市代表应当佩带有效证件、着指定的专用服装出入交易大厅。</w:t>
      </w:r>
    </w:p>
    <w:p w14:paraId="5E0E0EC7"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lastRenderedPageBreak/>
        <w:t xml:space="preserve">　　第二十六条 出市代表应当爱护交易大厅内的各种设施，严格按照交易所有关交易大厅计算机设备管理规定操作,损坏者要照价赔偿并按有关规定处罚。</w:t>
      </w:r>
    </w:p>
    <w:p w14:paraId="5C59CD25"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第二十七条 出市代表携带交易设备进出交易大厅应当经交易所批准。</w:t>
      </w:r>
    </w:p>
    <w:p w14:paraId="7C1FF102"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第二十八条 出市代表应当服从交易所场务管理人员的管理。</w:t>
      </w:r>
    </w:p>
    <w:p w14:paraId="706DE17E"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第二十九条 出市代表应当将交易所文件、通知等材料及时送交所在会员。</w:t>
      </w:r>
    </w:p>
    <w:p w14:paraId="4270A412"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第三十条 会员应当妥善管理交易密码，因交易密码泄露造成的后果由会员承担。</w:t>
      </w:r>
    </w:p>
    <w:p w14:paraId="765325C5"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第三十一条 出市代表不得有下列行为：</w:t>
      </w:r>
    </w:p>
    <w:p w14:paraId="6EDCF199"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（一）接受其他单位、个人的交易指令；</w:t>
      </w:r>
    </w:p>
    <w:p w14:paraId="2D2D5E50"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（二）为其他单位、个人提供咨询意见；</w:t>
      </w:r>
    </w:p>
    <w:p w14:paraId="4087F3E9"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（三）为自己进行期货交易；</w:t>
      </w:r>
    </w:p>
    <w:p w14:paraId="3AA50B1C"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（四）借用、盗用其他会员的电话或交易终端；</w:t>
      </w:r>
    </w:p>
    <w:p w14:paraId="68A8065D"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（五）伪造、转借出市代表证；</w:t>
      </w:r>
    </w:p>
    <w:p w14:paraId="11090BC8"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（六）交易所禁止的其他行为。</w:t>
      </w:r>
    </w:p>
    <w:p w14:paraId="2315C403"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第三十二条 会员辞退、更换出市代表或者出市代表离开原会员应当及时到交易所办理撤销委托手续，并交还出市代表证。会员如未能及时收回出市代表证，应当通知交易所有关部门，得到回执后，即可免除会员责任。因未及</w:t>
      </w:r>
      <w:r>
        <w:rPr>
          <w:rFonts w:ascii="仿宋_GB2312" w:eastAsia="仿宋_GB2312" w:hAnsi="Calibri" w:hint="eastAsia"/>
          <w:sz w:val="32"/>
          <w:szCs w:val="32"/>
        </w:rPr>
        <w:lastRenderedPageBreak/>
        <w:t>时办理撤销手续或者退回出市代表证所造成的后果由会员承担。</w:t>
      </w:r>
    </w:p>
    <w:p w14:paraId="150D5E17"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第三十三条 除会员合并、分立、破产以及经原会员同意外，被撤销出市代表授权的人员，交易所在三个月内不受理其到其他会员处任出市代表的注册申请。</w:t>
      </w:r>
    </w:p>
    <w:p w14:paraId="3CDF5845" w14:textId="77777777" w:rsidR="00ED1F16" w:rsidRDefault="00ED1F16" w:rsidP="00ED1F16">
      <w:pPr>
        <w:widowControl/>
        <w:adjustRightInd w:val="0"/>
        <w:snapToGrid w:val="0"/>
        <w:spacing w:line="360" w:lineRule="auto"/>
        <w:jc w:val="center"/>
        <w:rPr>
          <w:rFonts w:ascii="仿宋_GB2312" w:eastAsia="仿宋_GB2312" w:hAnsi="Calibri" w:hint="eastAsia"/>
          <w:sz w:val="32"/>
          <w:szCs w:val="32"/>
        </w:rPr>
      </w:pPr>
      <w:r>
        <w:rPr>
          <w:rFonts w:ascii="仿宋_GB2312" w:eastAsia="仿宋_GB2312" w:hAnsi="Calibri" w:hint="eastAsia"/>
          <w:sz w:val="32"/>
          <w:szCs w:val="32"/>
        </w:rPr>
        <w:t xml:space="preserve">　　第四章 交易时间、行情信息、交易指令和竞价原则</w:t>
      </w:r>
    </w:p>
    <w:p w14:paraId="5F4A2695"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第三十四条 期货交易每周设5个交易日（遇国家法定假日除外），每一个交易日分为夜盘和日盘交易时段，夜盘交易设一个夜盘交易小节，具体交易时间由交易所另行通知；日盘交易分三个交易小节，分别为第一节9：00-10：15、第二节10：30-11：30和第三节13：30-15：00。开展夜盘交易的品种由交易所另行公布。</w:t>
      </w:r>
    </w:p>
    <w:p w14:paraId="3AB701F6"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会员在完成人员配备、交易设施和业务制度等各项准备工作后，方可开展夜盘交易。夜盘交易只能通过远程交易席位进行。</w:t>
      </w:r>
    </w:p>
    <w:p w14:paraId="19D3206C"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第三十五条 交易所应当及时发布以下与交易有关的信息：</w:t>
      </w:r>
    </w:p>
    <w:p w14:paraId="538F91D8"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一）开盘价。开盘价是指某一期货合约开市前五分钟内经集合竞价产生的成交价格。集合竞价未产生成交价格的，以开市后竞价交易第一笔成交价为开盘价。第一笔成交价格按第四十五条规定确定，此时前一成交价为上一交易日收盘价，新上市合约前一成交价为挂盘基准价。</w:t>
      </w:r>
    </w:p>
    <w:p w14:paraId="45DAF7AA"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lastRenderedPageBreak/>
        <w:t xml:space="preserve">　　（二）收盘价。收盘价是指某一期货合约当日交易的最后一笔成交价格。无成交合约当日收盘价为当日结算价。</w:t>
      </w:r>
    </w:p>
    <w:p w14:paraId="7C5C19AF"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（三）最高价。最高价是指一定时间内某一期货合约成交价中的最高成交价格。</w:t>
      </w:r>
    </w:p>
    <w:p w14:paraId="7452421C"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（四）最低价。最低价是指一定时间内某一期货合约成交价中的最低成交价格。</w:t>
      </w:r>
    </w:p>
    <w:p w14:paraId="12BF2FF9"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（五）最新价。最新价是指某交易日某一期货合约交易期间的即时成交价格。</w:t>
      </w:r>
    </w:p>
    <w:p w14:paraId="4BA02A6A"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（六）涨跌。涨跌是指某交易日某一期货合约交易期间的最新价与上一交易日结算价之差。</w:t>
      </w:r>
    </w:p>
    <w:p w14:paraId="5A87FEDF"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（七）最高买价。最高买价是指某一期货合约当日买方申请买入的即时最高价格。</w:t>
      </w:r>
    </w:p>
    <w:p w14:paraId="2E498D1A"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（八）最低卖价。最低卖价是指某一期货合约当日卖方申请卖出的即时最低价格。</w:t>
      </w:r>
    </w:p>
    <w:p w14:paraId="56B6DAFC"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（九）申买量。申买量是指某一期货合约当日交易所交易系统中未成交的最高价位申请买入的下单数量。</w:t>
      </w:r>
    </w:p>
    <w:p w14:paraId="3FFBECC2"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（十）申卖量。申卖量是指某一期货合约当日交易所交易系统中未成交的最低价位申请卖出的下单数量。</w:t>
      </w:r>
    </w:p>
    <w:p w14:paraId="3EB6A7F1"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（十一）结算价。结算价是指某一期货合约当日交易期间成交价格按成交量的加权平均价。无成交合约当日结算价按照《大连商品交易所结算管理办法》相关规定确</w:t>
      </w:r>
      <w:r>
        <w:rPr>
          <w:rFonts w:ascii="仿宋_GB2312" w:eastAsia="仿宋_GB2312" w:hAnsi="Calibri" w:hint="eastAsia"/>
          <w:sz w:val="32"/>
          <w:szCs w:val="32"/>
        </w:rPr>
        <w:lastRenderedPageBreak/>
        <w:t>定。结算价是进行当日未平仓合约盈亏结算和确定下一交易日涨跌停板幅度的依据。</w:t>
      </w:r>
    </w:p>
    <w:p w14:paraId="00559DC0"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（十二）成交量。成交量是指某一合约在当日所有成交合约的单边数量。</w:t>
      </w:r>
    </w:p>
    <w:p w14:paraId="6F917004"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（十三）持仓量。持仓量是指期货交易者所持有的未平仓合约的单边数量。</w:t>
      </w:r>
    </w:p>
    <w:p w14:paraId="39833C2C"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第三十六条 新上市合约的挂盘基准价由交易所确定并提前公布。挂盘基准价是确定新上市合约第一个交易日涨（跌）停板的依据。</w:t>
      </w:r>
    </w:p>
    <w:p w14:paraId="7AA82971"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第三十七条 新上市合约的涨跌停板为合约规定的涨跌停板的两倍，如有成交，于下一交易日恢复到合约规定的涨跌停板；如当日无成交，下一交易日继续执行前一交易日涨跌停板。如连续三个交易日无成交，交易所可以对挂盘基准价作适当调整。</w:t>
      </w:r>
    </w:p>
    <w:p w14:paraId="204ABC81"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对曾经有成交而目前无持仓的合约，交易所可以公布新的基准价。</w:t>
      </w:r>
    </w:p>
    <w:p w14:paraId="6E2E5C6E"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第三十八条 交易指令的种类:</w:t>
      </w:r>
    </w:p>
    <w:p w14:paraId="039CD150"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（一）限价指令：指交易所计算机撮合系统执行指令时按限定价格或更好价格成交的指令。</w:t>
      </w:r>
    </w:p>
    <w:p w14:paraId="3216AC86"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（二）市价指令：指交易所计算机撮合系统执行指令时以涨（跌）停板价格参与交易的买（卖）指令。</w:t>
      </w:r>
    </w:p>
    <w:p w14:paraId="2AE56EF1"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lastRenderedPageBreak/>
        <w:t xml:space="preserve">　　（三）市价止损（盈）指令：指当市场价格触及客户预先设定触发价格时，交易所计算机撮合系统将其立即转为市价指令的指令。</w:t>
      </w:r>
    </w:p>
    <w:p w14:paraId="3EDDDA5C"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（四）限价止损（盈）指令：指当市场价格触及客户预先设定触发价格时，交易所计算机撮合系统将其立即转为限价指令的指令。</w:t>
      </w:r>
    </w:p>
    <w:p w14:paraId="600EC7D9"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五）套利交易指令：交易所对指定合约提供套利交易指令，交易所计算机撮合系统收到指令后将指令内各成分合约按规定比例同时成交。套利交易指令分为同品种跨期套利和跨品种套利交易指令，各指令具体内容如下：</w:t>
      </w:r>
    </w:p>
    <w:tbl>
      <w:tblPr>
        <w:tblW w:w="4000" w:type="pct"/>
        <w:jc w:val="center"/>
        <w:tblBorders>
          <w:top w:val="outset" w:sz="6" w:space="0" w:color="000000"/>
          <w:left w:val="outset" w:sz="6" w:space="0" w:color="000000"/>
          <w:bottom w:val="outset" w:sz="6" w:space="0" w:color="000000"/>
          <w:right w:val="outset" w:sz="6" w:space="0" w:color="000000"/>
        </w:tblBorders>
        <w:tblCellMar>
          <w:top w:w="20" w:type="dxa"/>
          <w:left w:w="20" w:type="dxa"/>
          <w:bottom w:w="20" w:type="dxa"/>
          <w:right w:w="20" w:type="dxa"/>
        </w:tblCellMar>
        <w:tblLook w:val="04A0" w:firstRow="1" w:lastRow="0" w:firstColumn="1" w:lastColumn="0" w:noHBand="0" w:noVBand="1"/>
      </w:tblPr>
      <w:tblGrid>
        <w:gridCol w:w="942"/>
        <w:gridCol w:w="2134"/>
        <w:gridCol w:w="3556"/>
      </w:tblGrid>
      <w:tr w:rsidR="00ED1F16" w14:paraId="73A7C858" w14:textId="77777777" w:rsidTr="0030651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15B42A" w14:textId="77777777" w:rsidR="00ED1F16" w:rsidRDefault="00ED1F16" w:rsidP="00306519">
            <w:pPr>
              <w:widowControl/>
              <w:adjustRightInd w:val="0"/>
              <w:snapToGrid w:val="0"/>
              <w:spacing w:line="360" w:lineRule="auto"/>
              <w:jc w:val="center"/>
              <w:rPr>
                <w:rFonts w:ascii="仿宋_GB2312" w:eastAsia="仿宋_GB2312" w:hAnsi="Calibri" w:hint="eastAsia"/>
                <w:sz w:val="32"/>
                <w:szCs w:val="32"/>
              </w:rPr>
            </w:pPr>
            <w:r>
              <w:rPr>
                <w:rFonts w:ascii="仿宋_GB2312" w:eastAsia="仿宋_GB2312" w:hAnsi="Calibri" w:hint="eastAsia"/>
                <w:sz w:val="32"/>
                <w:szCs w:val="32"/>
              </w:rPr>
              <w:t>名 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AD6B0E" w14:textId="77777777" w:rsidR="00ED1F16" w:rsidRDefault="00ED1F16" w:rsidP="00306519">
            <w:pPr>
              <w:widowControl/>
              <w:adjustRightInd w:val="0"/>
              <w:snapToGrid w:val="0"/>
              <w:spacing w:line="360" w:lineRule="auto"/>
              <w:jc w:val="center"/>
              <w:rPr>
                <w:rFonts w:ascii="仿宋_GB2312" w:eastAsia="仿宋_GB2312" w:hAnsi="Calibri" w:hint="eastAsia"/>
                <w:sz w:val="32"/>
                <w:szCs w:val="32"/>
              </w:rPr>
            </w:pPr>
            <w:r>
              <w:rPr>
                <w:rFonts w:ascii="仿宋_GB2312" w:eastAsia="仿宋_GB2312" w:hAnsi="Calibri" w:hint="eastAsia"/>
                <w:sz w:val="32"/>
                <w:szCs w:val="32"/>
              </w:rPr>
              <w:t>交易方式（从买方角度）</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F0A99D" w14:textId="77777777" w:rsidR="00ED1F16" w:rsidRDefault="00ED1F16" w:rsidP="00306519">
            <w:pPr>
              <w:widowControl/>
              <w:adjustRightInd w:val="0"/>
              <w:snapToGrid w:val="0"/>
              <w:spacing w:line="360" w:lineRule="auto"/>
              <w:jc w:val="center"/>
              <w:rPr>
                <w:rFonts w:ascii="仿宋_GB2312" w:eastAsia="仿宋_GB2312" w:hAnsi="Calibri" w:hint="eastAsia"/>
                <w:sz w:val="32"/>
                <w:szCs w:val="32"/>
              </w:rPr>
            </w:pPr>
            <w:r>
              <w:rPr>
                <w:rFonts w:ascii="仿宋_GB2312" w:eastAsia="仿宋_GB2312" w:hAnsi="Calibri" w:hint="eastAsia"/>
                <w:sz w:val="32"/>
                <w:szCs w:val="32"/>
              </w:rPr>
              <w:t>报价方式</w:t>
            </w:r>
          </w:p>
        </w:tc>
      </w:tr>
      <w:tr w:rsidR="00ED1F16" w14:paraId="01EC27A5" w14:textId="77777777" w:rsidTr="0030651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BDCFC8" w14:textId="77777777" w:rsidR="00ED1F16" w:rsidRDefault="00ED1F16" w:rsidP="00306519">
            <w:pPr>
              <w:widowControl/>
              <w:adjustRightInd w:val="0"/>
              <w:snapToGrid w:val="0"/>
              <w:spacing w:line="360" w:lineRule="auto"/>
              <w:jc w:val="center"/>
              <w:rPr>
                <w:rFonts w:ascii="仿宋_GB2312" w:eastAsia="仿宋_GB2312" w:hAnsi="Calibri" w:hint="eastAsia"/>
                <w:sz w:val="32"/>
                <w:szCs w:val="32"/>
              </w:rPr>
            </w:pPr>
            <w:r>
              <w:rPr>
                <w:rFonts w:ascii="仿宋_GB2312" w:eastAsia="仿宋_GB2312" w:hAnsi="Calibri" w:hint="eastAsia"/>
                <w:sz w:val="32"/>
                <w:szCs w:val="32"/>
              </w:rPr>
              <w:t>同品种跨期套利交易指令</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D8F037" w14:textId="77777777" w:rsidR="00ED1F16" w:rsidRDefault="00ED1F16" w:rsidP="00306519">
            <w:pPr>
              <w:widowControl/>
              <w:adjustRightInd w:val="0"/>
              <w:snapToGrid w:val="0"/>
              <w:spacing w:line="360" w:lineRule="auto"/>
              <w:jc w:val="center"/>
              <w:rPr>
                <w:rFonts w:ascii="仿宋_GB2312" w:eastAsia="仿宋_GB2312" w:hAnsi="Calibri" w:hint="eastAsia"/>
                <w:sz w:val="32"/>
                <w:szCs w:val="32"/>
              </w:rPr>
            </w:pPr>
            <w:r>
              <w:rPr>
                <w:rFonts w:ascii="仿宋_GB2312" w:eastAsia="仿宋_GB2312" w:hAnsi="Calibri" w:hint="eastAsia"/>
                <w:sz w:val="32"/>
                <w:szCs w:val="32"/>
              </w:rPr>
              <w:t>买入近月份合约，卖出同等数量远月份合约。</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844F8A" w14:textId="77777777" w:rsidR="00ED1F16" w:rsidRDefault="00ED1F16" w:rsidP="00306519">
            <w:pPr>
              <w:widowControl/>
              <w:adjustRightInd w:val="0"/>
              <w:snapToGrid w:val="0"/>
              <w:spacing w:line="360" w:lineRule="auto"/>
              <w:jc w:val="center"/>
              <w:rPr>
                <w:rFonts w:ascii="仿宋_GB2312" w:eastAsia="仿宋_GB2312" w:hAnsi="Calibri" w:hint="eastAsia"/>
                <w:sz w:val="32"/>
                <w:szCs w:val="32"/>
              </w:rPr>
            </w:pPr>
            <w:r>
              <w:rPr>
                <w:rFonts w:ascii="仿宋_GB2312" w:eastAsia="仿宋_GB2312" w:hAnsi="Calibri" w:hint="eastAsia"/>
                <w:sz w:val="32"/>
                <w:szCs w:val="32"/>
              </w:rPr>
              <w:t>买（卖）套利价格</w:t>
            </w:r>
            <w:r>
              <w:rPr>
                <w:rFonts w:ascii="仿宋_GB2312" w:eastAsia="仿宋_GB2312" w:hAnsi="Calibri"/>
                <w:sz w:val="32"/>
                <w:szCs w:val="32"/>
              </w:rPr>
              <w:t> </w:t>
            </w:r>
            <w:r>
              <w:rPr>
                <w:rFonts w:ascii="仿宋_GB2312" w:eastAsia="仿宋_GB2312" w:hAnsi="Calibri" w:hint="eastAsia"/>
                <w:sz w:val="32"/>
                <w:szCs w:val="32"/>
              </w:rPr>
              <w:t>=</w:t>
            </w:r>
            <w:r>
              <w:rPr>
                <w:rFonts w:ascii="仿宋_GB2312" w:eastAsia="仿宋_GB2312" w:hAnsi="Calibri"/>
                <w:sz w:val="32"/>
                <w:szCs w:val="32"/>
              </w:rPr>
              <w:t> </w:t>
            </w:r>
            <w:r>
              <w:rPr>
                <w:rFonts w:ascii="仿宋_GB2312" w:eastAsia="仿宋_GB2312" w:hAnsi="Calibri" w:hint="eastAsia"/>
                <w:sz w:val="32"/>
                <w:szCs w:val="32"/>
              </w:rPr>
              <w:t xml:space="preserve">近月合约买（卖）申报价格 </w:t>
            </w:r>
            <w:r>
              <w:rPr>
                <w:rFonts w:ascii="仿宋_GB2312" w:eastAsia="仿宋_GB2312" w:hAnsi="Calibri"/>
                <w:sz w:val="32"/>
                <w:szCs w:val="32"/>
              </w:rPr>
              <w:t>–</w:t>
            </w:r>
            <w:r>
              <w:rPr>
                <w:rFonts w:ascii="仿宋_GB2312" w:eastAsia="仿宋_GB2312" w:hAnsi="Calibri" w:hint="eastAsia"/>
                <w:sz w:val="32"/>
                <w:szCs w:val="32"/>
              </w:rPr>
              <w:t xml:space="preserve"> 远月合约卖（买）申报价格</w:t>
            </w:r>
          </w:p>
        </w:tc>
      </w:tr>
      <w:tr w:rsidR="00ED1F16" w14:paraId="46E40E27" w14:textId="77777777" w:rsidTr="0030651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B9957E" w14:textId="77777777" w:rsidR="00ED1F16" w:rsidRDefault="00ED1F16" w:rsidP="00306519">
            <w:pPr>
              <w:widowControl/>
              <w:adjustRightInd w:val="0"/>
              <w:snapToGrid w:val="0"/>
              <w:spacing w:line="360" w:lineRule="auto"/>
              <w:jc w:val="center"/>
              <w:rPr>
                <w:rFonts w:ascii="仿宋_GB2312" w:eastAsia="仿宋_GB2312" w:hAnsi="Calibri" w:hint="eastAsia"/>
                <w:sz w:val="32"/>
                <w:szCs w:val="32"/>
              </w:rPr>
            </w:pPr>
            <w:r>
              <w:rPr>
                <w:rFonts w:ascii="仿宋_GB2312" w:eastAsia="仿宋_GB2312" w:hAnsi="Calibri" w:hint="eastAsia"/>
                <w:sz w:val="32"/>
                <w:szCs w:val="32"/>
              </w:rPr>
              <w:t>两个品种间套利交</w:t>
            </w:r>
            <w:r>
              <w:rPr>
                <w:rFonts w:ascii="仿宋_GB2312" w:eastAsia="仿宋_GB2312" w:hAnsi="Calibri" w:hint="eastAsia"/>
                <w:sz w:val="32"/>
                <w:szCs w:val="32"/>
              </w:rPr>
              <w:lastRenderedPageBreak/>
              <w:t>易指令</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A8F796" w14:textId="77777777" w:rsidR="00ED1F16" w:rsidRDefault="00ED1F16" w:rsidP="00306519">
            <w:pPr>
              <w:widowControl/>
              <w:adjustRightInd w:val="0"/>
              <w:snapToGrid w:val="0"/>
              <w:spacing w:line="360" w:lineRule="auto"/>
              <w:jc w:val="center"/>
              <w:rPr>
                <w:rFonts w:ascii="仿宋_GB2312" w:eastAsia="仿宋_GB2312" w:hAnsi="Calibri" w:hint="eastAsia"/>
                <w:sz w:val="32"/>
                <w:szCs w:val="32"/>
              </w:rPr>
            </w:pPr>
            <w:r>
              <w:rPr>
                <w:rFonts w:ascii="仿宋_GB2312" w:eastAsia="仿宋_GB2312" w:hAnsi="Calibri" w:hint="eastAsia"/>
                <w:sz w:val="32"/>
                <w:szCs w:val="32"/>
              </w:rPr>
              <w:lastRenderedPageBreak/>
              <w:t>买入某品种某月份合约，卖出另一品种相</w:t>
            </w:r>
            <w:r>
              <w:rPr>
                <w:rFonts w:ascii="仿宋_GB2312" w:eastAsia="仿宋_GB2312" w:hAnsi="Calibri" w:hint="eastAsia"/>
                <w:sz w:val="32"/>
                <w:szCs w:val="32"/>
              </w:rPr>
              <w:lastRenderedPageBreak/>
              <w:t>同或不同月份合约。</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2F2D27" w14:textId="77777777" w:rsidR="00ED1F16" w:rsidRDefault="00ED1F16" w:rsidP="00306519">
            <w:pPr>
              <w:widowControl/>
              <w:adjustRightInd w:val="0"/>
              <w:snapToGrid w:val="0"/>
              <w:spacing w:line="360" w:lineRule="auto"/>
              <w:jc w:val="center"/>
              <w:rPr>
                <w:rFonts w:ascii="仿宋_GB2312" w:eastAsia="仿宋_GB2312" w:hAnsi="Calibri" w:hint="eastAsia"/>
                <w:sz w:val="32"/>
                <w:szCs w:val="32"/>
              </w:rPr>
            </w:pPr>
            <w:r>
              <w:rPr>
                <w:rFonts w:ascii="仿宋_GB2312" w:eastAsia="仿宋_GB2312" w:hAnsi="Calibri" w:hint="eastAsia"/>
                <w:sz w:val="32"/>
                <w:szCs w:val="32"/>
              </w:rPr>
              <w:lastRenderedPageBreak/>
              <w:t>买（卖）套利价格</w:t>
            </w:r>
            <w:r>
              <w:rPr>
                <w:rFonts w:ascii="仿宋_GB2312" w:eastAsia="仿宋_GB2312" w:hAnsi="Calibri"/>
                <w:sz w:val="32"/>
                <w:szCs w:val="32"/>
              </w:rPr>
              <w:t> </w:t>
            </w:r>
            <w:r>
              <w:rPr>
                <w:rFonts w:ascii="仿宋_GB2312" w:eastAsia="仿宋_GB2312" w:hAnsi="Calibri" w:hint="eastAsia"/>
                <w:sz w:val="32"/>
                <w:szCs w:val="32"/>
              </w:rPr>
              <w:t>=</w:t>
            </w:r>
            <w:r>
              <w:rPr>
                <w:rFonts w:ascii="仿宋_GB2312" w:eastAsia="仿宋_GB2312" w:hAnsi="Calibri"/>
                <w:sz w:val="32"/>
                <w:szCs w:val="32"/>
              </w:rPr>
              <w:t> </w:t>
            </w:r>
            <w:r>
              <w:rPr>
                <w:rFonts w:ascii="仿宋_GB2312" w:eastAsia="仿宋_GB2312" w:hAnsi="Calibri" w:hint="eastAsia"/>
                <w:sz w:val="32"/>
                <w:szCs w:val="32"/>
              </w:rPr>
              <w:t>第一品种买（卖）申报价格－第二品种卖（买）申报价格</w:t>
            </w:r>
          </w:p>
        </w:tc>
      </w:tr>
      <w:tr w:rsidR="00ED1F16" w14:paraId="68926ED4" w14:textId="77777777" w:rsidTr="0030651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FFD7F8" w14:textId="77777777" w:rsidR="00ED1F16" w:rsidRDefault="00ED1F16" w:rsidP="00306519">
            <w:pPr>
              <w:widowControl/>
              <w:adjustRightInd w:val="0"/>
              <w:snapToGrid w:val="0"/>
              <w:spacing w:line="360" w:lineRule="auto"/>
              <w:jc w:val="center"/>
              <w:rPr>
                <w:rFonts w:ascii="仿宋_GB2312" w:eastAsia="仿宋_GB2312" w:hAnsi="Calibri" w:hint="eastAsia"/>
                <w:sz w:val="32"/>
                <w:szCs w:val="32"/>
              </w:rPr>
            </w:pPr>
            <w:r>
              <w:rPr>
                <w:rFonts w:ascii="仿宋_GB2312" w:eastAsia="仿宋_GB2312" w:hAnsi="Calibri" w:hint="eastAsia"/>
                <w:sz w:val="32"/>
                <w:szCs w:val="32"/>
              </w:rPr>
              <w:t>压榨利润套利交易指令</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0D0ADA" w14:textId="77777777" w:rsidR="00ED1F16" w:rsidRDefault="00ED1F16" w:rsidP="00306519">
            <w:pPr>
              <w:widowControl/>
              <w:adjustRightInd w:val="0"/>
              <w:snapToGrid w:val="0"/>
              <w:spacing w:line="360" w:lineRule="auto"/>
              <w:jc w:val="center"/>
              <w:rPr>
                <w:rFonts w:ascii="仿宋_GB2312" w:eastAsia="仿宋_GB2312" w:hAnsi="Calibri" w:hint="eastAsia"/>
                <w:sz w:val="32"/>
                <w:szCs w:val="32"/>
              </w:rPr>
            </w:pPr>
            <w:r>
              <w:rPr>
                <w:rFonts w:ascii="仿宋_GB2312" w:eastAsia="仿宋_GB2312" w:hAnsi="Calibri" w:hint="eastAsia"/>
                <w:sz w:val="32"/>
                <w:szCs w:val="32"/>
              </w:rPr>
              <w:t>卖大豆合约、买相同月份或不同月份豆粕和豆油合约</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662B29" w14:textId="77777777" w:rsidR="00ED1F16" w:rsidRDefault="00ED1F16" w:rsidP="00306519">
            <w:pPr>
              <w:widowControl/>
              <w:adjustRightInd w:val="0"/>
              <w:snapToGrid w:val="0"/>
              <w:spacing w:line="360" w:lineRule="auto"/>
              <w:jc w:val="center"/>
              <w:rPr>
                <w:rFonts w:ascii="仿宋_GB2312" w:eastAsia="仿宋_GB2312" w:hAnsi="Calibri" w:hint="eastAsia"/>
                <w:sz w:val="32"/>
                <w:szCs w:val="32"/>
              </w:rPr>
            </w:pPr>
            <w:r>
              <w:rPr>
                <w:rFonts w:ascii="仿宋_GB2312" w:eastAsia="仿宋_GB2312" w:hAnsi="Calibri" w:hint="eastAsia"/>
                <w:sz w:val="32"/>
                <w:szCs w:val="32"/>
              </w:rPr>
              <w:t>买（卖）套利价格</w:t>
            </w:r>
            <w:r>
              <w:rPr>
                <w:rFonts w:ascii="仿宋_GB2312" w:eastAsia="仿宋_GB2312" w:hAnsi="Calibri"/>
                <w:sz w:val="32"/>
                <w:szCs w:val="32"/>
              </w:rPr>
              <w:t> </w:t>
            </w:r>
            <w:r>
              <w:rPr>
                <w:rFonts w:ascii="仿宋_GB2312" w:eastAsia="仿宋_GB2312" w:hAnsi="Calibri" w:hint="eastAsia"/>
                <w:sz w:val="32"/>
                <w:szCs w:val="32"/>
              </w:rPr>
              <w:t>=</w:t>
            </w:r>
            <w:r>
              <w:rPr>
                <w:rFonts w:ascii="仿宋_GB2312" w:eastAsia="仿宋_GB2312" w:hAnsi="Calibri"/>
                <w:sz w:val="32"/>
                <w:szCs w:val="32"/>
              </w:rPr>
              <w:t> </w:t>
            </w:r>
            <w:r>
              <w:rPr>
                <w:rFonts w:ascii="仿宋_GB2312" w:eastAsia="仿宋_GB2312" w:hAnsi="Calibri" w:hint="eastAsia"/>
                <w:sz w:val="32"/>
                <w:szCs w:val="32"/>
              </w:rPr>
              <w:t>豆粕合约买（卖）申报价格＋豆油合约买（卖）申报价格－大豆合约卖（买）申报价格</w:t>
            </w:r>
          </w:p>
        </w:tc>
      </w:tr>
    </w:tbl>
    <w:p w14:paraId="54B297ED"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（六）交易所规定的其他指令。</w:t>
      </w:r>
    </w:p>
    <w:p w14:paraId="627B41ED"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期货合约交易指令每次最大下单数量见各品种期货业务细则。</w:t>
      </w:r>
    </w:p>
    <w:p w14:paraId="2D9D1157"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第三十九条 市价指令和限价指令可以附加立即全部成交否则自动撤销和立即成交剩余指令自动撤销两种指令属性。</w:t>
      </w:r>
    </w:p>
    <w:p w14:paraId="7DAF1430"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第四十条 开设夜盘交易的品种，其开盘集合竞价在夜盘交易时段开市前5分钟内进行，日盘交易时段不再集合竞价。未开设夜盘交易的品种，其开盘集合竞价在日盘交易时段开市前5分钟内进行。集合竞价前4分钟为期货合约买、卖指令申报时间，后1分钟为集合竞价撮合时间。</w:t>
      </w:r>
    </w:p>
    <w:p w14:paraId="40A6709F"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第四十一条 在集合竞价申报和开市后竞价交易期间，交易所计算机撮合系统接受交易指令申报，交易指令的种类由交易所规定，并向市场公布。</w:t>
      </w:r>
    </w:p>
    <w:p w14:paraId="4C3B4EEA"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lastRenderedPageBreak/>
        <w:t xml:space="preserve">　　在集合竞价撮合和竞价交易暂停期间，交易所计算机撮合系统不接受交易指令申报。</w:t>
      </w:r>
    </w:p>
    <w:p w14:paraId="1A4F47F8"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第四十二条 交易所计算机撮合系统自动将买卖申报指令按价格优先、时间优先的原则进行排序，当买入价大于、等于卖出价则自动撮合成交。同一交易编码同一合约持仓平仓顺序按开仓时间先开先平。</w:t>
      </w:r>
    </w:p>
    <w:p w14:paraId="6E88AA37"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当某期货合约以涨（跌）停板价格申报时，成交撮合原则实行平仓优先和时间优先的原则，交易所强行平仓申报单优先其他平仓申报单。</w:t>
      </w:r>
    </w:p>
    <w:p w14:paraId="0BF6F7DF"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第四十三条 集合竞价采用最大成交量原则，即以此价格成交能够得到最大成交量。高于集合竞价产生的价格的买入申报全部成交；低于集合竞价产生的价格的卖出申报全部成交；等于集合竞价产生的价格的买入或者卖出申报，至少有一方申报量完全成交。若有多个价位满足最大成交量原则，则开盘价取与前一交易日结算价最近的价格；新上市合约开盘价取与挂盘基准价最近的价格。</w:t>
      </w:r>
    </w:p>
    <w:p w14:paraId="1C8FCB1B"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第四十四条 开盘集合竞价中的未成交申报单自动参与开市后竞价交易。</w:t>
      </w:r>
    </w:p>
    <w:p w14:paraId="536F7AE9"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第四十五条 开市后撮合成交价等于买入价(bp)、卖出价(sp)和前一成交价(cp)三者中居中的一个价格。即：</w:t>
      </w:r>
    </w:p>
    <w:p w14:paraId="76CB2E02"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当bp</w:t>
      </w:r>
      <w:r>
        <w:rPr>
          <w:rFonts w:ascii="仿宋_GB2312" w:eastAsia="仿宋_GB2312" w:hAnsi="Calibri"/>
          <w:sz w:val="32"/>
          <w:szCs w:val="32"/>
        </w:rPr>
        <w:t>≥</w:t>
      </w:r>
      <w:r>
        <w:rPr>
          <w:rFonts w:ascii="仿宋_GB2312" w:eastAsia="仿宋_GB2312" w:hAnsi="Calibri" w:hint="eastAsia"/>
          <w:sz w:val="32"/>
          <w:szCs w:val="32"/>
        </w:rPr>
        <w:t>sp</w:t>
      </w:r>
      <w:r>
        <w:rPr>
          <w:rFonts w:ascii="仿宋_GB2312" w:eastAsia="仿宋_GB2312" w:hAnsi="Calibri"/>
          <w:sz w:val="32"/>
          <w:szCs w:val="32"/>
        </w:rPr>
        <w:t>≥</w:t>
      </w:r>
      <w:r>
        <w:rPr>
          <w:rFonts w:ascii="仿宋_GB2312" w:eastAsia="仿宋_GB2312" w:hAnsi="Calibri" w:hint="eastAsia"/>
          <w:sz w:val="32"/>
          <w:szCs w:val="32"/>
        </w:rPr>
        <w:t>cp，则最新成交价=sp；</w:t>
      </w:r>
    </w:p>
    <w:p w14:paraId="6BB0FC1C"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当bp</w:t>
      </w:r>
      <w:r>
        <w:rPr>
          <w:rFonts w:ascii="仿宋_GB2312" w:eastAsia="仿宋_GB2312" w:hAnsi="Calibri"/>
          <w:sz w:val="32"/>
          <w:szCs w:val="32"/>
        </w:rPr>
        <w:t>≥</w:t>
      </w:r>
      <w:r>
        <w:rPr>
          <w:rFonts w:ascii="仿宋_GB2312" w:eastAsia="仿宋_GB2312" w:hAnsi="Calibri" w:hint="eastAsia"/>
          <w:sz w:val="32"/>
          <w:szCs w:val="32"/>
        </w:rPr>
        <w:t>cp</w:t>
      </w:r>
      <w:r>
        <w:rPr>
          <w:rFonts w:ascii="仿宋_GB2312" w:eastAsia="仿宋_GB2312" w:hAnsi="Calibri"/>
          <w:sz w:val="32"/>
          <w:szCs w:val="32"/>
        </w:rPr>
        <w:t>≥</w:t>
      </w:r>
      <w:r>
        <w:rPr>
          <w:rFonts w:ascii="仿宋_GB2312" w:eastAsia="仿宋_GB2312" w:hAnsi="Calibri" w:hint="eastAsia"/>
          <w:sz w:val="32"/>
          <w:szCs w:val="32"/>
        </w:rPr>
        <w:t>sp，则最新成交价=cp；</w:t>
      </w:r>
    </w:p>
    <w:p w14:paraId="7FC4A1E6"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lastRenderedPageBreak/>
        <w:t xml:space="preserve">　　当cp</w:t>
      </w:r>
      <w:r>
        <w:rPr>
          <w:rFonts w:ascii="仿宋_GB2312" w:eastAsia="仿宋_GB2312" w:hAnsi="Calibri"/>
          <w:sz w:val="32"/>
          <w:szCs w:val="32"/>
        </w:rPr>
        <w:t>≥</w:t>
      </w:r>
      <w:r>
        <w:rPr>
          <w:rFonts w:ascii="仿宋_GB2312" w:eastAsia="仿宋_GB2312" w:hAnsi="Calibri" w:hint="eastAsia"/>
          <w:sz w:val="32"/>
          <w:szCs w:val="32"/>
        </w:rPr>
        <w:t>bp</w:t>
      </w:r>
      <w:r>
        <w:rPr>
          <w:rFonts w:ascii="仿宋_GB2312" w:eastAsia="仿宋_GB2312" w:hAnsi="Calibri"/>
          <w:sz w:val="32"/>
          <w:szCs w:val="32"/>
        </w:rPr>
        <w:t>≥</w:t>
      </w:r>
      <w:r>
        <w:rPr>
          <w:rFonts w:ascii="仿宋_GB2312" w:eastAsia="仿宋_GB2312" w:hAnsi="Calibri" w:hint="eastAsia"/>
          <w:sz w:val="32"/>
          <w:szCs w:val="32"/>
        </w:rPr>
        <w:t>sp，则最新成交价=bp。</w:t>
      </w:r>
    </w:p>
    <w:p w14:paraId="3583EBC4" w14:textId="77777777" w:rsidR="00ED1F16" w:rsidRDefault="00ED1F16" w:rsidP="00ED1F16">
      <w:pPr>
        <w:widowControl/>
        <w:adjustRightInd w:val="0"/>
        <w:snapToGrid w:val="0"/>
        <w:spacing w:line="360" w:lineRule="auto"/>
        <w:jc w:val="center"/>
        <w:rPr>
          <w:rFonts w:ascii="仿宋_GB2312" w:eastAsia="仿宋_GB2312" w:hAnsi="Calibri" w:hint="eastAsia"/>
          <w:sz w:val="32"/>
          <w:szCs w:val="32"/>
        </w:rPr>
      </w:pPr>
      <w:r>
        <w:rPr>
          <w:rFonts w:ascii="仿宋_GB2312" w:eastAsia="仿宋_GB2312" w:hAnsi="Calibri" w:hint="eastAsia"/>
          <w:sz w:val="32"/>
          <w:szCs w:val="32"/>
        </w:rPr>
        <w:t>第五章 交易编码制度</w:t>
      </w:r>
    </w:p>
    <w:p w14:paraId="20F897BF"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第四十六条 交易所实行交易编码制度。交易编码是指由交易所分配给非期货公司会员和客户进行期货交易的专用代码。</w:t>
      </w:r>
    </w:p>
    <w:p w14:paraId="7BE2302F"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第四十七条 境内客户进行期货交易，应当事先在期货公司会员处办理开户手续。</w:t>
      </w:r>
    </w:p>
    <w:p w14:paraId="2F5F64F3"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境外客户进行期货交易，可以通过以下两种方式办理开户手续：</w:t>
      </w:r>
    </w:p>
    <w:p w14:paraId="79B08B13"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（一）委托期货公司会员进行交易的，由期货公司会员为其办理开户手续，申请交易编码；</w:t>
      </w:r>
    </w:p>
    <w:p w14:paraId="04D45F14"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二）委托境外经纪机构进行交易，境外经纪机构再委托期货公司会员交易的，由境外经纪机构为其办理开户手续，申请交易编码，接受境外经纪机构委托交易的期货公司会员，应当为境外经纪机构办理开户手续提供必要的协助。</w:t>
      </w:r>
    </w:p>
    <w:p w14:paraId="62502974"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同时采取以上两种方式开户的境外客户或者在不同境外经纪机构开户的境外客户，不得通过同一家期货公司会员进行期货交易。</w:t>
      </w:r>
    </w:p>
    <w:p w14:paraId="385320E8"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期货公司会员、境外经纪机构接受客户委托，应当事先向客户出示风险说明书，经客户签字确认后，与客户签订书面合同。</w:t>
      </w:r>
    </w:p>
    <w:p w14:paraId="68222EFC"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lastRenderedPageBreak/>
        <w:t xml:space="preserve">　　第四十八条 期货公司会员、境外经纪机构应当按照中国证监会、中国期货市场监控中心有限责任公司（以下简称监控中心）和交易所的要求，为客户办理交易编码申请等开户手续。</w:t>
      </w:r>
    </w:p>
    <w:p w14:paraId="02715710"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根据中国法律、法规和规章规定，需要对资产进行分户管理的期货公司、证券公司、基金管理公司、信托公司和其他金融机构，以及社会保障类公司等特殊单位客户，可以按照监控中心的规定申请交易编码。</w:t>
      </w:r>
    </w:p>
    <w:p w14:paraId="5125A84D"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第四十九条 交易编码分非期货公司会员交易编码和客户交易编码。交易编码由会员号和客户号两部分组成。</w:t>
      </w:r>
    </w:p>
    <w:p w14:paraId="2CB66140"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第五十条 客户交易编码由十二位数字构成，前四位数是会员号，后八位数是客户号。如客户交易编码为000100001535，则会员号为0001，客户号为00001535。</w:t>
      </w:r>
    </w:p>
    <w:p w14:paraId="6BBDA578"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第五十一条 非期货公司会员交易编码和客户交易编码位数相同，但后八位是其会员号，如非期货公司会员的会员号为120，则其非期货公司会员交易编码为012000000120。</w:t>
      </w:r>
    </w:p>
    <w:p w14:paraId="6581E8E6"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第五十二条 非期货公司会员交易编码与客户交易编码互不占用。</w:t>
      </w:r>
    </w:p>
    <w:p w14:paraId="43D0A695"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第五十三条 一个客户在交易所内只能有一个客户号，但可以在不同的期货公司会员、境外经纪机构开户。交易编码只能是会员号不同，而客户号必须相同。</w:t>
      </w:r>
    </w:p>
    <w:p w14:paraId="3693729A"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lastRenderedPageBreak/>
        <w:t xml:space="preserve">　　第五十四条 期货公司会员、境外经纪机构为客户申请、注销交易编码，以及修改与交易编码相关的客户资料，应当根据期货市场客户开户管理的相关规定，统一通过监控中心提交申请。</w:t>
      </w:r>
    </w:p>
    <w:p w14:paraId="51A05AEE"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交易所收到监控中心转发的客户交易编码申请资料后，对交易编码进行分配、发放和管理，并将各类申请的处理结果通过监控中心反馈给期货公司会员、境外经纪机构。</w:t>
      </w:r>
    </w:p>
    <w:p w14:paraId="0FCD4643"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客户交易编码经交易所审核确认后方可使用。</w:t>
      </w:r>
    </w:p>
    <w:p w14:paraId="510D3E19"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第五十五条 期货公司会员、境外经纪机构应当保证客户资料的真实、合法、有效和准确，妥善保存客户开户、变更及销户资料档案，以备交易所核查。</w:t>
      </w:r>
    </w:p>
    <w:p w14:paraId="0414230C"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期货公司会员、境外经纪机构对上述资料的保管期限不得少于20年。</w:t>
      </w:r>
    </w:p>
    <w:p w14:paraId="13912E4C"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第五十六条 有下列情况之一的，客户交易编码予以注销：</w:t>
      </w:r>
    </w:p>
    <w:p w14:paraId="43A9D028"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（一）客户资料不真实的；</w:t>
      </w:r>
    </w:p>
    <w:p w14:paraId="64A3715C"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（二）客户被认定为市场禁入者的；</w:t>
      </w:r>
    </w:p>
    <w:p w14:paraId="6D40C6A9"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（三）客户在期货公司、境外经纪机构已办理销户手续的；</w:t>
      </w:r>
    </w:p>
    <w:p w14:paraId="69124557"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（四）其他应予以注销的情形。</w:t>
      </w:r>
    </w:p>
    <w:p w14:paraId="7CFB15DC"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lastRenderedPageBreak/>
        <w:t xml:space="preserve">　　第五十七条 如会员丧失交易所会员资格，则该会员处的交易编码全部予以注销。</w:t>
      </w:r>
    </w:p>
    <w:p w14:paraId="47829168"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第五十八条 客户提供虚假的开户资料或者期货公司会员、境外经纪机构协助客户使用虚假资料开户的，交易所可以责令期货公司会员、境外经纪机构限期平仓，平仓后注销该客户交易编码，同时按《大连商品交易所违规处理办法》的有关规定进行处理。</w:t>
      </w:r>
    </w:p>
    <w:p w14:paraId="77111F9D"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第五十九条 会员、境外经纪机构或者客户应当本着诚实信用原则，妥善管理交易编码。会员、境外经纪机构或者客户因交易编码管理不当，导致交易编码被他人利用实施违规行为的，交易所将根据有关规定进行处理。</w:t>
      </w:r>
    </w:p>
    <w:p w14:paraId="66F6CC42" w14:textId="77777777" w:rsidR="00ED1F16" w:rsidRDefault="00ED1F16" w:rsidP="00ED1F16">
      <w:pPr>
        <w:widowControl/>
        <w:adjustRightInd w:val="0"/>
        <w:snapToGrid w:val="0"/>
        <w:spacing w:line="360" w:lineRule="auto"/>
        <w:jc w:val="center"/>
        <w:rPr>
          <w:rFonts w:ascii="仿宋_GB2312" w:eastAsia="仿宋_GB2312" w:hAnsi="Calibri" w:hint="eastAsia"/>
          <w:sz w:val="32"/>
          <w:szCs w:val="32"/>
        </w:rPr>
      </w:pPr>
      <w:bookmarkStart w:id="0" w:name="_GoBack"/>
      <w:bookmarkEnd w:id="0"/>
      <w:r>
        <w:rPr>
          <w:rFonts w:ascii="仿宋_GB2312" w:eastAsia="仿宋_GB2312" w:hAnsi="Calibri" w:hint="eastAsia"/>
          <w:sz w:val="32"/>
          <w:szCs w:val="32"/>
        </w:rPr>
        <w:t>第六章 附则</w:t>
      </w:r>
    </w:p>
    <w:p w14:paraId="2506F47E"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第六十条 本办法中所称时间均为北京时间，除本办法有明确的规定外，</w:t>
      </w:r>
      <w:r>
        <w:rPr>
          <w:rFonts w:ascii="仿宋_GB2312" w:eastAsia="仿宋_GB2312" w:hAnsi="Calibri"/>
          <w:sz w:val="32"/>
          <w:szCs w:val="32"/>
        </w:rPr>
        <w:t>“</w:t>
      </w:r>
      <w:r>
        <w:rPr>
          <w:rFonts w:ascii="仿宋_GB2312" w:eastAsia="仿宋_GB2312" w:hAnsi="Calibri" w:hint="eastAsia"/>
          <w:sz w:val="32"/>
          <w:szCs w:val="32"/>
        </w:rPr>
        <w:t>日</w:t>
      </w:r>
      <w:r>
        <w:rPr>
          <w:rFonts w:ascii="仿宋_GB2312" w:eastAsia="仿宋_GB2312" w:hAnsi="Calibri"/>
          <w:sz w:val="32"/>
          <w:szCs w:val="32"/>
        </w:rPr>
        <w:t>”</w:t>
      </w:r>
      <w:r>
        <w:rPr>
          <w:rFonts w:ascii="仿宋_GB2312" w:eastAsia="仿宋_GB2312" w:hAnsi="Calibri" w:hint="eastAsia"/>
          <w:sz w:val="32"/>
          <w:szCs w:val="32"/>
        </w:rPr>
        <w:t>均指交易日。</w:t>
      </w:r>
    </w:p>
    <w:p w14:paraId="16DE4A8F"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第六十一条 违反本办法规定的，交易所按《大连商品交易所违规处理办法》的有关规定处理。</w:t>
      </w:r>
    </w:p>
    <w:p w14:paraId="68DF200C"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第六十二条 各品种期货业务细则有特别规定或者交易所对期权交易业务有特别规定的，适用其规定。</w:t>
      </w:r>
    </w:p>
    <w:p w14:paraId="52DD4CDE"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第六十三条 本办法解释权属于大连商品交易所。</w:t>
      </w:r>
    </w:p>
    <w:p w14:paraId="0EDAB8B1" w14:textId="77777777" w:rsidR="00ED1F16" w:rsidRDefault="00ED1F16" w:rsidP="00ED1F16">
      <w:pPr>
        <w:widowControl/>
        <w:adjustRightInd w:val="0"/>
        <w:snapToGrid w:val="0"/>
        <w:spacing w:line="360" w:lineRule="auto"/>
        <w:jc w:val="left"/>
        <w:rPr>
          <w:rFonts w:ascii="仿宋_GB2312" w:eastAsia="仿宋_GB2312" w:hAnsi="Calibri" w:hint="eastAsia"/>
          <w:sz w:val="32"/>
          <w:szCs w:val="32"/>
        </w:rPr>
      </w:pPr>
      <w:r>
        <w:rPr>
          <w:rFonts w:ascii="仿宋_GB2312" w:eastAsia="仿宋_GB2312" w:hAnsi="Calibri" w:hint="eastAsia"/>
          <w:sz w:val="32"/>
          <w:szCs w:val="32"/>
        </w:rPr>
        <w:t xml:space="preserve">　　第六十四条 本办法自公布之日起实施。</w:t>
      </w:r>
    </w:p>
    <w:p w14:paraId="77EC222F" w14:textId="77777777" w:rsidR="00A2554E" w:rsidRPr="00ED1F16" w:rsidRDefault="00A2554E"/>
    <w:sectPr w:rsidR="00A2554E" w:rsidRPr="00ED1F1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8D1C1" w14:textId="77777777" w:rsidR="00ED1F16" w:rsidRDefault="00ED1F16" w:rsidP="00ED1F16">
      <w:r>
        <w:separator/>
      </w:r>
    </w:p>
  </w:endnote>
  <w:endnote w:type="continuationSeparator" w:id="0">
    <w:p w14:paraId="4913972D" w14:textId="77777777" w:rsidR="00ED1F16" w:rsidRDefault="00ED1F16" w:rsidP="00ED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2AFF" w:usb1="4000ACFF"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408765"/>
      <w:docPartObj>
        <w:docPartGallery w:val="Page Numbers (Bottom of Page)"/>
        <w:docPartUnique/>
      </w:docPartObj>
    </w:sdtPr>
    <w:sdtContent>
      <w:p w14:paraId="1DE15374" w14:textId="35E781A8" w:rsidR="00953F57" w:rsidRDefault="00953F57">
        <w:pPr>
          <w:pStyle w:val="a7"/>
          <w:jc w:val="center"/>
        </w:pPr>
        <w:r>
          <w:fldChar w:fldCharType="begin"/>
        </w:r>
        <w:r>
          <w:instrText>PAGE   \* MERGEFORMAT</w:instrText>
        </w:r>
        <w:r>
          <w:fldChar w:fldCharType="separate"/>
        </w:r>
        <w:r w:rsidRPr="00953F57">
          <w:rPr>
            <w:noProof/>
            <w:lang w:val="zh-CN"/>
          </w:rPr>
          <w:t>1</w:t>
        </w:r>
        <w:r>
          <w:fldChar w:fldCharType="end"/>
        </w:r>
      </w:p>
    </w:sdtContent>
  </w:sdt>
  <w:p w14:paraId="01336062" w14:textId="77777777" w:rsidR="00953F57" w:rsidRDefault="00953F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1AB33" w14:textId="77777777" w:rsidR="00ED1F16" w:rsidRDefault="00ED1F16" w:rsidP="00ED1F16">
      <w:r>
        <w:separator/>
      </w:r>
    </w:p>
  </w:footnote>
  <w:footnote w:type="continuationSeparator" w:id="0">
    <w:p w14:paraId="19DA3624" w14:textId="77777777" w:rsidR="00ED1F16" w:rsidRDefault="00ED1F16" w:rsidP="00ED1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D0"/>
    <w:rsid w:val="004204D0"/>
    <w:rsid w:val="007B1EC4"/>
    <w:rsid w:val="00953F57"/>
    <w:rsid w:val="00A2554E"/>
    <w:rsid w:val="00ED1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67D28"/>
  <w15:chartTrackingRefBased/>
  <w15:docId w15:val="{7227DB84-2221-4330-A0AF-D659BCCE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F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B1EC4"/>
    <w:pPr>
      <w:snapToGrid w:val="0"/>
      <w:jc w:val="left"/>
    </w:pPr>
    <w:rPr>
      <w:rFonts w:asciiTheme="minorHAnsi" w:eastAsiaTheme="minorEastAsia" w:hAnsiTheme="minorHAnsi" w:cstheme="minorBidi"/>
      <w:sz w:val="18"/>
      <w:szCs w:val="18"/>
    </w:rPr>
  </w:style>
  <w:style w:type="character" w:customStyle="1" w:styleId="a4">
    <w:name w:val="脚注文本 字符"/>
    <w:basedOn w:val="a0"/>
    <w:link w:val="a3"/>
    <w:uiPriority w:val="99"/>
    <w:semiHidden/>
    <w:rsid w:val="007B1EC4"/>
    <w:rPr>
      <w:sz w:val="18"/>
      <w:szCs w:val="18"/>
    </w:rPr>
  </w:style>
  <w:style w:type="paragraph" w:styleId="a5">
    <w:name w:val="header"/>
    <w:basedOn w:val="a"/>
    <w:link w:val="a6"/>
    <w:uiPriority w:val="99"/>
    <w:unhideWhenUsed/>
    <w:rsid w:val="00ED1F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sid w:val="00ED1F16"/>
    <w:rPr>
      <w:sz w:val="18"/>
      <w:szCs w:val="18"/>
    </w:rPr>
  </w:style>
  <w:style w:type="paragraph" w:styleId="a7">
    <w:name w:val="footer"/>
    <w:basedOn w:val="a"/>
    <w:link w:val="a8"/>
    <w:uiPriority w:val="99"/>
    <w:unhideWhenUsed/>
    <w:rsid w:val="00ED1F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8">
    <w:name w:val="页脚 字符"/>
    <w:basedOn w:val="a0"/>
    <w:link w:val="a7"/>
    <w:uiPriority w:val="99"/>
    <w:rsid w:val="00ED1F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F106AB-6F4A-4DB0-B701-3620C90B11C6}"/>
</file>

<file path=customXml/itemProps2.xml><?xml version="1.0" encoding="utf-8"?>
<ds:datastoreItem xmlns:ds="http://schemas.openxmlformats.org/officeDocument/2006/customXml" ds:itemID="{E6B00C16-5CE8-4E81-9098-CD82CB689AFA}"/>
</file>

<file path=customXml/itemProps3.xml><?xml version="1.0" encoding="utf-8"?>
<ds:datastoreItem xmlns:ds="http://schemas.openxmlformats.org/officeDocument/2006/customXml" ds:itemID="{A38ECFBB-38D9-4D9C-A1E2-A5FA732790AB}"/>
</file>

<file path=docProps/app.xml><?xml version="1.0" encoding="utf-8"?>
<Properties xmlns="http://schemas.openxmlformats.org/officeDocument/2006/extended-properties" xmlns:vt="http://schemas.openxmlformats.org/officeDocument/2006/docPropsVTypes">
  <Template>Normal</Template>
  <TotalTime>1</TotalTime>
  <Pages>16</Pages>
  <Words>3429</Words>
  <Characters>3533</Characters>
  <Application>Microsoft Office Word</Application>
  <DocSecurity>0</DocSecurity>
  <Lines>321</Lines>
  <Paragraphs>278</Paragraphs>
  <ScaleCrop>false</ScaleCrop>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3</cp:revision>
  <dcterms:created xsi:type="dcterms:W3CDTF">2019-10-29T01:36:00Z</dcterms:created>
  <dcterms:modified xsi:type="dcterms:W3CDTF">2019-10-29T01:38:00Z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